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  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БЕЛГОРОДСКАЯ ОБЛАСТЬ МУНИЦИПАЛЬНЫЙ РАЙОН 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«ПРОХОРОВСКИЙ РАЙОН»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ПРЕЛЕСТНЕНСКОГО СЕЛЬСКОГО ПОСЕЛЕНИЯ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Пятнадцатое заседание                             пятого созыва</w:t>
      </w: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</w:t>
      </w: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« 26 » ноября 2024 года                                                            № 35  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части полномочий 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Прелестненского сельского поселения 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исполнения бюджета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             В  соответствии со ст. 9, 142, 154 Бюджетного кодекса Российской Федерации,  Федеральным  законом от 6 октября 2003 года №131-ФЗ «Об общих принципах организации местного самоуправления в Российской Федерации», земское собрание Прелестненского сельского поселения  </w:t>
      </w:r>
    </w:p>
    <w:p w:rsidR="00340E11" w:rsidRPr="00340E11" w:rsidRDefault="00340E11" w:rsidP="00340E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340E11" w:rsidRPr="00340E11" w:rsidRDefault="00340E11" w:rsidP="00340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осуществление части полномочий по организации исполнения бюджета 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340E1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Белгородской области  с 1 января  2025 года.</w:t>
      </w: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2.  Установить, что 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из бюджета Прелестненского сельского поселения</w:t>
      </w:r>
      <w:r w:rsidRPr="00340E1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340E1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на основании решения об утверждении бюджета 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на соответствующий финансовый год.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3.Утвердить Порядок предоставления иных межбюджетных трансфертов, </w:t>
      </w:r>
      <w:r w:rsidRPr="00340E1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предоставляемых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из бюджета 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 осуществление полномочий по организации исполнения бюджета</w:t>
      </w:r>
      <w:r w:rsidRPr="00340E1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поселения (приложение № 1).</w:t>
      </w:r>
    </w:p>
    <w:p w:rsidR="00340E11" w:rsidRPr="00340E11" w:rsidRDefault="00340E11" w:rsidP="00340E1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ab/>
        <w:t>4.Утвердить Методику расчета иных межбюджетных трансфертов, предоставляемых из бюджета Прелестненского сельского поселения 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 район» Белгородской области</w:t>
      </w:r>
      <w:r w:rsidRPr="00340E1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бюджету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по организации исполнения бюджета поселения (приложение № 2).</w:t>
      </w: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5. Утвердить размер иных межбюджетных трансфертов, передаваемых бюджетом Прелестненского сельского поселения муниципального района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2025 год (приложение № 3).</w:t>
      </w: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6. Утвердить</w:t>
      </w:r>
      <w:r w:rsidRPr="00340E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проект соглашения о передаче части полномочий по организации исполнения бюджета поселения (приложение № 4).</w:t>
      </w:r>
    </w:p>
    <w:p w:rsidR="00340E11" w:rsidRPr="00340E11" w:rsidRDefault="00340E11" w:rsidP="00340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7. Поручить</w:t>
      </w:r>
      <w:r w:rsidRPr="00340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заключить Соглашение о передаче части полномочий по организации исполнения бюджета поселения.</w:t>
      </w: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ab/>
        <w:t>8. Данное решение вступает в силу с 01 января 2025 года.</w:t>
      </w: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ab/>
        <w:t>9. Обнародовать настоящее решение в порядке, определенном Уставом Прелестненского сельского поселения.</w:t>
      </w: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решения возложить на главу администрации  Прелестненского сельского поселения – Фёдорова Дмитрия Витальевича. </w:t>
      </w: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Глава Прелестненского</w:t>
      </w:r>
    </w:p>
    <w:p w:rsidR="00340E11" w:rsidRPr="00340E11" w:rsidRDefault="00340E11" w:rsidP="00340E11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В.Ю. Бузанаков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к решению земского собрания Прелестненского сельского поселения   </w:t>
      </w: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«26» ноября  2024 года № 35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0E11" w:rsidRPr="00340E11" w:rsidRDefault="00340E11" w:rsidP="00340E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 на осуществление полномочий по организации исполнения бюджета поселения, </w:t>
      </w:r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из бюджета 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340E11" w:rsidRPr="00340E11" w:rsidRDefault="00340E11" w:rsidP="00340E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1. Настоящий Порядок устанавливает порядок предоставления иных межбюджетных трансфертов, предоставляемых из бюджета 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(далее –  сельское поселение) бюджету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на осуществление полномочий по организации исполнения бюджета поселения</w:t>
      </w:r>
      <w:r w:rsidRPr="00340E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40E11" w:rsidRPr="00340E11" w:rsidRDefault="00340E11" w:rsidP="00340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340E11" w:rsidRPr="00340E11" w:rsidRDefault="00340E11" w:rsidP="00340E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3. Размер иных </w:t>
      </w: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полномочий по организации исполнения бюджета поселения определяется в соответствии с </w:t>
      </w:r>
      <w:hyperlink r:id="rId5" w:history="1">
        <w:r w:rsidRPr="00340E11">
          <w:rPr>
            <w:rFonts w:ascii="Times New Roman" w:eastAsia="Times New Roman" w:hAnsi="Times New Roman" w:cs="Times New Roman"/>
            <w:sz w:val="28"/>
            <w:szCs w:val="28"/>
          </w:rPr>
          <w:t>методикой</w:t>
        </w:r>
      </w:hyperlink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расчета объема иных </w:t>
      </w: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на осуществление полномочий по организации исполнения бюджета поселения.</w:t>
      </w:r>
    </w:p>
    <w:p w:rsidR="00340E11" w:rsidRPr="00340E11" w:rsidRDefault="00340E11" w:rsidP="00340E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5. Соглашения должны содержать: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предмет соглашения;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права и обязанности сторон;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340E11" w:rsidRPr="00340E11" w:rsidRDefault="00340E11" w:rsidP="00340E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к решению земского собрания Прелестненского сельского поселения   </w:t>
      </w: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«26» ноября 2024 года № 35</w:t>
      </w:r>
    </w:p>
    <w:p w:rsidR="00340E11" w:rsidRPr="00340E11" w:rsidRDefault="00340E11" w:rsidP="00340E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40E11" w:rsidRPr="00340E11" w:rsidRDefault="00340E11" w:rsidP="00340E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left="5040" w:hanging="1638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расчета </w:t>
      </w:r>
    </w:p>
    <w:p w:rsidR="00340E11" w:rsidRPr="00340E11" w:rsidRDefault="00340E11" w:rsidP="00340E11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right="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340E11" w:rsidRPr="00340E11" w:rsidRDefault="00340E11" w:rsidP="00340E11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полномочий по организации исполнения бюджета поселения</w:t>
      </w:r>
    </w:p>
    <w:p w:rsidR="00340E11" w:rsidRPr="00340E11" w:rsidRDefault="00340E11" w:rsidP="00340E11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0E11" w:rsidRPr="00340E11" w:rsidRDefault="00340E11" w:rsidP="00340E11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p w:rsidR="00340E11" w:rsidRPr="00340E11" w:rsidRDefault="00340E11" w:rsidP="00340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Объем иных межбюджетных трансфертов, предоставляемых из бюджета 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по организации исполнения бюджета поселения, определяется как сумма затрат по обеспечению сотрудников финансового органа на канцелярские товары и бумагу, без учета стандартных расходов на оплату труда.</w:t>
      </w:r>
      <w:proofErr w:type="gramEnd"/>
    </w:p>
    <w:p w:rsidR="00340E11" w:rsidRPr="00340E11" w:rsidRDefault="00340E11" w:rsidP="00340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2. Объем иных межбюджетных трансфертов определяется по формуле: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трансф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>. =  К + Б, где</w:t>
      </w:r>
    </w:p>
    <w:p w:rsidR="00340E11" w:rsidRPr="00340E11" w:rsidRDefault="00340E11" w:rsidP="00340E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затраты на канцелярские товары из расчета расходов на 1 шариковую ручку, 1 простой карандаш, 1 упаковку скоб для </w:t>
      </w: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степлера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№10 или №12 в средних ценах 2024 года;</w:t>
      </w:r>
    </w:p>
    <w:p w:rsidR="00340E11" w:rsidRPr="00340E11" w:rsidRDefault="00340E11" w:rsidP="00340E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gram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затраты на бумагу из расчета:</w:t>
      </w:r>
    </w:p>
    <w:p w:rsidR="00340E11" w:rsidRPr="00340E11" w:rsidRDefault="00340E11" w:rsidP="00340E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gram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= ЦЛ * (</w:t>
      </w: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НОтч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* 50 + </w:t>
      </w: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МОтч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*12 + </w:t>
      </w: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КвОтч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* 4 + </w:t>
      </w: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ГОтч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), где</w:t>
      </w:r>
    </w:p>
    <w:p w:rsidR="00340E11" w:rsidRPr="00340E11" w:rsidRDefault="00340E11" w:rsidP="00340E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ЦЛ – цена 1 листа бумаги формата А</w:t>
      </w:r>
      <w:proofErr w:type="gram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proofErr w:type="gram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средних ценах 2024 года;</w:t>
      </w:r>
    </w:p>
    <w:p w:rsidR="00340E11" w:rsidRPr="00340E11" w:rsidRDefault="00340E11" w:rsidP="00340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НОтч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кол-во листов бумаги, требуемых для печати еженедельных (по четвергам) отчетов сверки остатков на 02 лицевых счетах в УФК по Белгородской области по форме КФД 0531775;</w:t>
      </w:r>
    </w:p>
    <w:p w:rsidR="00340E11" w:rsidRPr="00340E11" w:rsidRDefault="00340E11" w:rsidP="00340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МОтч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кол-во листов бумаги, требуемых для печати ежемесячных (на 1 число) отчетов сверки с УФК по Белгородской области по формам КФД 0531775, КФД 0531793, КФД 0503150, КФД 0503151;</w:t>
      </w:r>
    </w:p>
    <w:p w:rsidR="00340E11" w:rsidRPr="00340E11" w:rsidRDefault="00340E11" w:rsidP="00340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КвОтч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кол-во листов бумаги, требуемых для печати квартальных отчетов сверки с УФК по Белгородской области по формам КФД 0531787, КФД 0531820;</w:t>
      </w:r>
    </w:p>
    <w:p w:rsidR="00340E11" w:rsidRPr="00340E11" w:rsidRDefault="00340E11" w:rsidP="00340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ГОтч</w:t>
      </w:r>
      <w:proofErr w:type="spellEnd"/>
      <w:r w:rsidRPr="00340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кол-во листов бумаги, требуемых для печати годовых отчетов сверки с УФК по Белгородской области по формам КФД 0531888, КФД 0503151 (заключительные обороты, после уточнений).</w:t>
      </w: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решению земского собрания Прелестненского сельского поселения   </w:t>
      </w: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«26» ноября 2024 года № 35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 иных межбюджетных трансфертов, передаваемых бюджетом Прелестненского сельского поселения </w:t>
      </w:r>
      <w:r w:rsidRPr="00340E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Белгородской области </w:t>
      </w: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осуществление полномочий </w:t>
      </w:r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по организации исполнения бюджета</w:t>
      </w: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на 2025 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8406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170"/>
        <w:gridCol w:w="2976"/>
      </w:tblGrid>
      <w:tr w:rsidR="00340E11" w:rsidRPr="00340E11" w:rsidTr="00074F0B">
        <w:tc>
          <w:tcPr>
            <w:tcW w:w="1260" w:type="dxa"/>
            <w:vAlign w:val="center"/>
          </w:tcPr>
          <w:p w:rsidR="00340E11" w:rsidRPr="00340E11" w:rsidRDefault="00340E11" w:rsidP="00340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4170" w:type="dxa"/>
            <w:vAlign w:val="center"/>
          </w:tcPr>
          <w:p w:rsidR="00340E11" w:rsidRPr="00340E11" w:rsidRDefault="00340E11" w:rsidP="00340E11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2976" w:type="dxa"/>
            <w:vAlign w:val="center"/>
          </w:tcPr>
          <w:p w:rsidR="00340E11" w:rsidRPr="00340E11" w:rsidRDefault="00340E11" w:rsidP="00340E11">
            <w:pPr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340E11" w:rsidRPr="00340E11" w:rsidRDefault="00340E11" w:rsidP="00340E11">
            <w:pPr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340E11" w:rsidRPr="00340E11" w:rsidTr="00074F0B">
        <w:tc>
          <w:tcPr>
            <w:tcW w:w="1260" w:type="dxa"/>
            <w:vAlign w:val="center"/>
          </w:tcPr>
          <w:p w:rsidR="00340E11" w:rsidRPr="00340E11" w:rsidRDefault="00340E11" w:rsidP="00340E11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20</w:t>
            </w: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4170" w:type="dxa"/>
            <w:vAlign w:val="center"/>
          </w:tcPr>
          <w:p w:rsidR="00340E11" w:rsidRPr="00340E11" w:rsidRDefault="00340E11" w:rsidP="00340E11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Обеспечение бумагой и канцелярскими товарами</w:t>
            </w:r>
          </w:p>
        </w:tc>
        <w:tc>
          <w:tcPr>
            <w:tcW w:w="2976" w:type="dxa"/>
            <w:vAlign w:val="center"/>
          </w:tcPr>
          <w:p w:rsidR="00340E11" w:rsidRPr="00340E11" w:rsidRDefault="00340E11" w:rsidP="00340E11">
            <w:pPr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400</w:t>
            </w:r>
          </w:p>
        </w:tc>
      </w:tr>
    </w:tbl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к решению земского собрания Прелестненского сельского поселения   </w:t>
      </w:r>
    </w:p>
    <w:p w:rsidR="00340E11" w:rsidRPr="00340E11" w:rsidRDefault="00340E11" w:rsidP="00340E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«26» ноября  2024 года № 35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части полномочий по </w:t>
      </w:r>
      <w:r w:rsidRPr="00340E1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исполнения бюджета</w:t>
      </w:r>
    </w:p>
    <w:p w:rsidR="00340E11" w:rsidRPr="00340E11" w:rsidRDefault="00340E11" w:rsidP="0034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«___» _______________ 2024 г.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Администрация Прелестненского сельского (городского)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 район» Белгородской области в лице главы администрации Прелестненского сельского (городского) поселения Фёдорова Дмитрия Витальевича, действующего на основании Устава Прелестненского сельского (городского)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в лице главы администрации Прохоровского  района Канищева Сергея Михайловича, действующего на основании </w:t>
      </w:r>
      <w:hyperlink r:id="rId6" w:tooltip="Решение Совета депутатов муниципального района &quot;Алексеевский район и г. Алексеевка&quot; Белгородской обл. от 27.07.2007 N 2 (ред. от 31.07.2012) &quot;Об Уставе муниципального района &quot;Алексеевский район и город Алексеевка&quot; Белгородской области&quot; (Зарегистрировано в ГУ М" w:history="1">
        <w:r w:rsidRPr="00340E11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  <w:proofErr w:type="gramEnd"/>
      </w:hyperlink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с другой стороны,   руководствуясь ст. 9, 142, 154</w:t>
      </w:r>
      <w:r w:rsidRPr="00340E11">
        <w:rPr>
          <w:rFonts w:ascii="Arial" w:eastAsia="Times New Roman" w:hAnsi="Arial" w:cs="Arial"/>
          <w:sz w:val="28"/>
          <w:szCs w:val="28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 Белгородской области,  заключили настоящее Соглашение о нижеследующем:</w:t>
      </w:r>
    </w:p>
    <w:p w:rsidR="00340E11" w:rsidRPr="00340E11" w:rsidRDefault="00340E11" w:rsidP="00340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0E11" w:rsidRPr="00340E11" w:rsidRDefault="00340E11" w:rsidP="00340E1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</w:t>
      </w:r>
      <w:r w:rsidRPr="00340E11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</w:t>
      </w:r>
      <w:r w:rsidRPr="00340E11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340E1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полномочий по организации исполнения бюджета поселения. 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По настоящему соглашению Администрация Прелестненского сельского поселения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(далее – Администрация района) принимает следующие полномочия финансового органа:</w:t>
      </w:r>
    </w:p>
    <w:p w:rsidR="00340E11" w:rsidRPr="00340E11" w:rsidRDefault="00340E11" w:rsidP="00340E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 кассового обслуживания исполнения доходной и расходной части бюджета Поселения в соответствии с Бюджетным кодексом Российской Федерации, нормативными правовыми актами, регулирующими бюджетные правоотношения, принятые федеральными органами государственной власти Российской Федерации, органами государственной власти Белгородской области и администрацией Прохоровского района в пределах своей компетенции, иными нормативными правовыми актами Российской Федерации;</w:t>
      </w:r>
      <w:proofErr w:type="gramEnd"/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контроль учёта поступающих доходов бюджета Поселения, распределенные УФК по Белгородской области, в соответствии с действующим бюджетным и налоговым законодательством;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санкционирование расходов по обязательствам  бюджета Поселения в пределах остатка на лицевом счете при казначейском обслуживании бюджета Поселения, осуществляемом УФК по Белгородской области на основании платежных поручений, передаваемых по электронным каналам связи с использованием сре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>иптографической защиты информации и электронной подписи;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контроль учета операций со средствами бюджета Поселения в соответствии с Единым планом счетов бухгалтерского учёта, утверждённого приказом Минфина РФ от 01.12.2010г. № 157Н и инструкцией по применению плана счетов бухгалтерского учёта, утверждённой приказом Минфина РФ № 162Н от 06.12.2010г;</w:t>
      </w:r>
    </w:p>
    <w:p w:rsidR="00340E11" w:rsidRPr="00340E11" w:rsidRDefault="00340E11" w:rsidP="00340E1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составления и сдачи отчетности в соответствии со статьёй 154 Бюджетного кодекса Российской Федерации, Приказа Минфина России от 28 декабря 2010 г. № 191н «Об утверждении инструкции о порядке составления и предоставления годовой, квартальной, месячной отчётности об исполнении бюджетов бюджетной системы Российской Федерации».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340E11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Уполномоченным органом по исполнению Соглашения и осуществлению полномочий по организации исполнения бюджета поселения Администрация Прохоровского района определяет Управление финансов и налоговой политики администрации Прохоровского района (далее – «Финансовый орган»).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2.1. Финансовый орган имеет право: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участвовать в формировании проекта бюджета Поселения совместно с Администрацией Поселения в соответствии с законодательством Российской Федерации, Белгородской области и нормативными правовыми актами Поселения;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требовать соблюдения правильности оформления платежных документов на расходование средств;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проверять платежные и иные документы (договоры, счета, сметы и др.), на основании которых приняты денежные обязательства по осуществлению расходов за счет средств бюджета Поселения;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отказать в обработке платежного документа, если подтверждающий документ, подписи, оттиск печати на них будут признаны сомнительными;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- получать по электронным каналам связи с использованием средств криптографической защиты информации от УФК 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по Белгородской области информацию по движению средств на лицевом счете бюджета Поселения согласно выписки из лицевого счета с признаком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«02»  на следующий рабочий день после совершения операций;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контролировать своевременность зачисления и перечисления сре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дств с л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>ицевого счета с признаком «02» в соответствии с полученными выписками;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- контролировать своевременность 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квитовки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Поселения расходов и доходов в системе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АЦК-Финансы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приостановить осуществление полномочий, предусмотренных настоящим соглашением, в случае невыполнения Поселением обязательств, предусмотренных п. 2.5.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2.2. Финансовый орган обязан: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участвовать в составлении бюджетной росписи бюджета Поселения в разрезе действующих кодов бюджетной классификации;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обеспечить удаленную работу Администрации Поселения в системе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АЦК-Планирование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>» для формирования бюджетной росписи бюджета Поселения и внесения необходимых изменений в процессе исполнения;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бюджетных средств, соблюдением установленных правил расчетов, правильностью указания реквизитов и кодов бюджетной классификации;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соблюдать порядок и регламент обмена электронными документами между УФК по Белгородской области и Управлением финансов по кассовому исполнению бюджета Поселения;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отправлять в установленные регламентом сроки по электронным каналам связи с использованием сре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>иптографической защиты информации на УФК по Белгородской области платежные поручения для осуществления расхода по лицевому счету с признаком «02» бюджета Поселения с использованием электронной подписи Управления финансов;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обеспечить загрузку выписки из лицевого счета с признаком «02»  в систему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АЦК-Финансы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>» на следующий рабочий день после совершения операций по счету Поселения при наличии движения средств на лицевом счете;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обеспечить конфиденциальность операций по лицевым счетам Поселения в соответствии с действующим законодательством;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информировать получателей средств местного бюджета об изменении порядка исполнения бюджета Поселения;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консультировать Администрацию Поселения по вопросам документооборота и вопросам, возникающим в процессе обслуживания.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2.3. Финансовый орган не несет ответственности: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по обязательствам администрации Поселения;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за правильность содержащихся в расчетных документах сведений и арифметических расчетов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за обработку платежного поручения по подтверждающему документу  с подложными подписями, подложной печатью или подложным текстом, если в установленном законом порядке не доказана вина Финансового органа.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2.4. Администрация поселения имеет право: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распоряжаться средствами, находящимися на лицевом счете бюджета  Поселения в пределах остатка,</w:t>
      </w:r>
      <w:r w:rsidRPr="00340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E11">
        <w:rPr>
          <w:rFonts w:ascii="Times New Roman" w:eastAsia="Times New Roman" w:hAnsi="Times New Roman" w:cs="Times New Roman"/>
          <w:sz w:val="28"/>
          <w:szCs w:val="28"/>
        </w:rPr>
        <w:t>в том числе для выплаты наличных денежных средств;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получать от Финансового органа информацию по движению средств на лицевом счете бюджета Поселения;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контролировать своевременность зачисления и перечисления сре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дств с л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>ицевого счета с признаком «02» в соответствии с полученными выписками;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получать от Финансового органа необходимую информацию о ходе исполнения бюджета Поселения.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2.5.  Администрация поселения обязана: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- представлять Финансовому органу утвержденную бюджетную роспись по установленной форме с указанием полного кода бюджетной классификации Российской Федерации и формировать ее в электронном виде в системе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АЦК-Планирование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осуществлять учет налоговых и иных доходов, а также безвозмездных перечислений в разрезе кодов бюджетной классификации;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соблюдать сроки оплаты и актуальность банковских реквизитов в платежных и иных документах по принятым обязательствам;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производить в системе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АЦК-Финансы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>» операции по зачислению доходов, обработке произведенных кассовых расходов, операции по восстановлению расходов, неиспользованных денежных сре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>я выплаты наличных и иных операций, предусмотренных действующим законодательством;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производить в системе Федерального казначейства «Портал СУФД» операции по учету и корректировке расходов федеральных, областных, местных денежных средств, средств во временном распоряжении на лицевом счете с признаком «02», операции по учету и корректировке доходов на лицевом счете с признаком «04», включая печать выписок;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- вести учет исполнения бюджета Поселения в соответствии с нормативными документами по учету исполнения местных бюджетов и предоставления отчетности, составлять отчет и представлять в установленные сроки в представительный орган местного самоуправления Поселения;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- представлять в Финансовый орган заверенную представительным органом Поселения новую карточку </w:t>
      </w:r>
      <w:proofErr w:type="gramStart"/>
      <w:r w:rsidRPr="00340E11">
        <w:rPr>
          <w:rFonts w:ascii="Times New Roman" w:eastAsia="Times New Roman" w:hAnsi="Times New Roman" w:cs="Times New Roman"/>
          <w:sz w:val="28"/>
          <w:szCs w:val="28"/>
        </w:rPr>
        <w:t>образцов подписей главы Администрации Поселения</w:t>
      </w:r>
      <w:proofErr w:type="gram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и главного бухгалтера при увольнении или приеме на работу вместе с приказом о назначении на должность в трехдневный срок.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3. Финансовое обеспечение полномочий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 в бюджет 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340E11" w:rsidRPr="00340E11" w:rsidRDefault="00340E11" w:rsidP="00340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340E11" w:rsidRPr="00340E11" w:rsidRDefault="00340E11" w:rsidP="00340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340E11" w:rsidRPr="00340E11" w:rsidRDefault="00340E11" w:rsidP="00340E11">
      <w:pPr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lastRenderedPageBreak/>
        <w:t>3.4. Объем межбюджетных трансфертов, предоставляемых на осуществление передаваемых полномочий Администрации района, составляет в 2025 году 400 рублей, согласно приложению №3 к Соглашению.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sz w:val="28"/>
          <w:szCs w:val="28"/>
        </w:rPr>
        <w:t>4. Срок действия соглашения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4.1. Настоящее Соглашение заключено на срок один год и действует с 1 января 2025.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E11" w:rsidRPr="00340E11" w:rsidRDefault="00340E11" w:rsidP="00340E11">
      <w:pPr>
        <w:keepNext/>
        <w:shd w:val="clear" w:color="auto" w:fill="FFFFFF"/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340E11" w:rsidRPr="00340E11" w:rsidRDefault="00340E11" w:rsidP="00340E11">
      <w:pPr>
        <w:keepNext/>
        <w:shd w:val="clear" w:color="auto" w:fill="FFFFFF"/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5.2. В случае неисполнения (не надлежащего исполнения) финансовым органом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sz w:val="28"/>
          <w:szCs w:val="28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E11" w:rsidRPr="00340E11" w:rsidRDefault="00340E11" w:rsidP="00340E11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340E11" w:rsidRPr="00340E11" w:rsidRDefault="00340E11" w:rsidP="00340E11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0E11" w:rsidRPr="00340E11" w:rsidRDefault="00340E11" w:rsidP="00340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При прекращении действия Соглашения Представительный орган поселения обеспечивает перечисление в бюджет муниципального района </w:t>
      </w: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40E11" w:rsidRPr="00340E11" w:rsidRDefault="00340E11" w:rsidP="00340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40E11" w:rsidRPr="00340E11" w:rsidRDefault="00340E11" w:rsidP="00340E11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0E11" w:rsidRPr="00340E11" w:rsidRDefault="00340E11" w:rsidP="00340E11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340E1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340E11" w:rsidRPr="00340E11" w:rsidRDefault="00340E11" w:rsidP="00340E11">
      <w:pPr>
        <w:keepNext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0A0"/>
      </w:tblPr>
      <w:tblGrid>
        <w:gridCol w:w="2392"/>
        <w:gridCol w:w="2393"/>
        <w:gridCol w:w="2596"/>
        <w:gridCol w:w="2393"/>
      </w:tblGrid>
      <w:tr w:rsidR="00340E11" w:rsidRPr="00340E11" w:rsidTr="00074F0B">
        <w:tc>
          <w:tcPr>
            <w:tcW w:w="4785" w:type="dxa"/>
            <w:gridSpan w:val="2"/>
          </w:tcPr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Прохоровский</w:t>
            </w:r>
            <w:proofErr w:type="spellEnd"/>
            <w:r w:rsidRPr="00340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309000, Белгородская область,</w:t>
            </w: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п. Прохоровка, ул. Советская,162  </w:t>
            </w: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9" w:type="dxa"/>
            <w:gridSpan w:val="2"/>
          </w:tcPr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Прелестненского сельского поселения муниципального района «</w:t>
            </w:r>
            <w:proofErr w:type="spellStart"/>
            <w:r w:rsidRPr="00340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Прохоровский</w:t>
            </w:r>
            <w:proofErr w:type="spellEnd"/>
            <w:r w:rsidRPr="00340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309004, Белгородская область </w:t>
            </w:r>
            <w:proofErr w:type="spellStart"/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Прохоровский</w:t>
            </w:r>
            <w:proofErr w:type="spellEnd"/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с. </w:t>
            </w:r>
            <w:proofErr w:type="gramStart"/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Прелестное</w:t>
            </w:r>
            <w:proofErr w:type="gramEnd"/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0E11" w:rsidRPr="00340E11" w:rsidTr="00074F0B">
        <w:trPr>
          <w:trHeight w:val="226"/>
        </w:trPr>
        <w:tc>
          <w:tcPr>
            <w:tcW w:w="2392" w:type="dxa"/>
            <w:tcBorders>
              <w:bottom w:val="single" w:sz="4" w:space="0" w:color="auto"/>
            </w:tcBorders>
          </w:tcPr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С.М. Канищев</w:t>
            </w:r>
          </w:p>
        </w:tc>
        <w:tc>
          <w:tcPr>
            <w:tcW w:w="2596" w:type="dxa"/>
          </w:tcPr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</w:t>
            </w:r>
          </w:p>
        </w:tc>
        <w:tc>
          <w:tcPr>
            <w:tcW w:w="2393" w:type="dxa"/>
          </w:tcPr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Д.В. Фёдоров</w:t>
            </w:r>
          </w:p>
        </w:tc>
      </w:tr>
      <w:tr w:rsidR="00340E11" w:rsidRPr="00340E11" w:rsidTr="00074F0B">
        <w:tc>
          <w:tcPr>
            <w:tcW w:w="4785" w:type="dxa"/>
            <w:gridSpan w:val="2"/>
          </w:tcPr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« ____ » ______________ 2024 г.</w:t>
            </w:r>
          </w:p>
        </w:tc>
        <w:tc>
          <w:tcPr>
            <w:tcW w:w="4989" w:type="dxa"/>
            <w:gridSpan w:val="2"/>
          </w:tcPr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« ____ » ______________ 2024 г.</w:t>
            </w:r>
          </w:p>
        </w:tc>
      </w:tr>
      <w:tr w:rsidR="00340E11" w:rsidRPr="00340E11" w:rsidTr="00074F0B">
        <w:tc>
          <w:tcPr>
            <w:tcW w:w="4785" w:type="dxa"/>
            <w:gridSpan w:val="2"/>
            <w:vAlign w:val="bottom"/>
          </w:tcPr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М.П.</w:t>
            </w:r>
          </w:p>
        </w:tc>
        <w:tc>
          <w:tcPr>
            <w:tcW w:w="4989" w:type="dxa"/>
            <w:gridSpan w:val="2"/>
            <w:vAlign w:val="bottom"/>
          </w:tcPr>
          <w:p w:rsidR="00340E11" w:rsidRPr="00340E11" w:rsidRDefault="00340E11" w:rsidP="0034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М.П.</w:t>
            </w:r>
          </w:p>
        </w:tc>
      </w:tr>
      <w:tr w:rsidR="00340E11" w:rsidRPr="00340E11" w:rsidTr="00074F0B">
        <w:tc>
          <w:tcPr>
            <w:tcW w:w="4785" w:type="dxa"/>
            <w:gridSpan w:val="2"/>
          </w:tcPr>
          <w:p w:rsidR="00340E11" w:rsidRPr="00340E11" w:rsidRDefault="00340E11" w:rsidP="00340E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9" w:type="dxa"/>
            <w:gridSpan w:val="2"/>
          </w:tcPr>
          <w:p w:rsidR="00340E11" w:rsidRPr="00340E11" w:rsidRDefault="00340E11" w:rsidP="00340E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0E11" w:rsidRPr="00340E11" w:rsidTr="00074F0B">
        <w:tc>
          <w:tcPr>
            <w:tcW w:w="4785" w:type="dxa"/>
            <w:gridSpan w:val="2"/>
          </w:tcPr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финансов и налоговой политики администрации Прохоровского района</w:t>
            </w: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309000 Белгородская область</w:t>
            </w: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рохоровка, ул.Советская, д.148</w:t>
            </w:r>
          </w:p>
          <w:p w:rsidR="00340E11" w:rsidRPr="00340E11" w:rsidRDefault="00340E11" w:rsidP="0034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E11" w:rsidRPr="00340E11" w:rsidRDefault="00340E11" w:rsidP="00340E1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340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Г.В. Ворона</w:t>
            </w:r>
          </w:p>
          <w:p w:rsidR="00340E11" w:rsidRPr="00340E11" w:rsidRDefault="00340E11" w:rsidP="00340E1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>« ____ » ______________ 2024 г.</w:t>
            </w:r>
          </w:p>
          <w:p w:rsidR="00340E11" w:rsidRPr="00340E11" w:rsidRDefault="00340E11" w:rsidP="00340E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М.П.</w:t>
            </w:r>
          </w:p>
        </w:tc>
        <w:tc>
          <w:tcPr>
            <w:tcW w:w="4989" w:type="dxa"/>
            <w:gridSpan w:val="2"/>
          </w:tcPr>
          <w:p w:rsidR="00340E11" w:rsidRPr="00340E11" w:rsidRDefault="00340E11" w:rsidP="00340E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lastRenderedPageBreak/>
        <w:t>Копия верна,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Подлинник находится в администрации Прелестненского сельского поселения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340E11">
        <w:rPr>
          <w:rFonts w:ascii="Times New Roman" w:eastAsia="Times New Roman" w:hAnsi="Times New Roman" w:cs="Times New Roman"/>
          <w:sz w:val="24"/>
          <w:szCs w:val="24"/>
        </w:rPr>
        <w:t>Прохоровский</w:t>
      </w:r>
      <w:proofErr w:type="spellEnd"/>
      <w:r w:rsidRPr="00340E11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Глава Прелестненского сельского поселения                 В.Ю. Бузанаков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«__» __________ 2024 года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Прошито, пронумеровано и скреплено печатью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________ (______________________________)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Глава Прелестненского сельского поселения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____________ В.Ю. Бузанаков</w:t>
      </w:r>
    </w:p>
    <w:p w:rsidR="00340E11" w:rsidRPr="00340E11" w:rsidRDefault="00340E11" w:rsidP="0034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E11">
        <w:rPr>
          <w:rFonts w:ascii="Times New Roman" w:eastAsia="Times New Roman" w:hAnsi="Times New Roman" w:cs="Times New Roman"/>
          <w:sz w:val="24"/>
          <w:szCs w:val="24"/>
        </w:rPr>
        <w:t>«__» __________ 2024 года</w:t>
      </w:r>
    </w:p>
    <w:p w:rsidR="004551F1" w:rsidRDefault="004551F1"/>
    <w:sectPr w:rsidR="004551F1" w:rsidSect="004534B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C55"/>
    <w:multiLevelType w:val="hybridMultilevel"/>
    <w:tmpl w:val="8B8C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E11"/>
    <w:rsid w:val="00340E11"/>
    <w:rsid w:val="0045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D573CDF994205288AD4346E37BF399FAACFB09E8238AE6276D6E24B07432E60E5AC72DD44F7F038405EEn9FCM" TargetMode="External"/><Relationship Id="rId5" Type="http://schemas.openxmlformats.org/officeDocument/2006/relationships/hyperlink" Target="consultantplus://offline/ref=4D28B66ACBC2D48C98BD95D137BF3C474CD59A293AC0659E4A11F69EE72AF464B7821316843E868E814B66u3a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3336</Words>
  <Characters>19018</Characters>
  <Application>Microsoft Office Word</Application>
  <DocSecurity>0</DocSecurity>
  <Lines>158</Lines>
  <Paragraphs>44</Paragraphs>
  <ScaleCrop>false</ScaleCrop>
  <Company/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2024-11-26T15:04:00Z</dcterms:created>
  <dcterms:modified xsi:type="dcterms:W3CDTF">2024-11-26T15:05:00Z</dcterms:modified>
</cp:coreProperties>
</file>